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5C" w:rsidRDefault="00794C0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P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pt-PT"/>
        </w:rPr>
        <w:t xml:space="preserve">ACAPO -  </w:t>
      </w:r>
      <w:r>
        <w:rPr>
          <w:rFonts w:ascii="Times New Roman" w:eastAsia="Times New Roman" w:hAnsi="Times New Roman" w:cs="Times New Roman"/>
          <w:color w:val="000000"/>
          <w:lang w:eastAsia="pt-PT"/>
        </w:rPr>
        <w:t>ASSOCIAÇÃO DOS CEGOS E AMBLÍOPES DE PORTUGAL</w:t>
      </w:r>
    </w:p>
    <w:p w:rsidR="0082225C" w:rsidRDefault="008222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PT"/>
        </w:rPr>
      </w:pPr>
    </w:p>
    <w:p w:rsidR="0082225C" w:rsidRPr="00794C04" w:rsidRDefault="00794C04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PT"/>
        </w:rPr>
      </w:pPr>
      <w:r w:rsidRPr="00794C04">
        <w:rPr>
          <w:rFonts w:ascii="Times New Roman" w:eastAsia="Times New Roman" w:hAnsi="Times New Roman" w:cs="Times New Roman"/>
          <w:b/>
          <w:color w:val="000000"/>
          <w:lang w:eastAsia="pt-PT"/>
        </w:rPr>
        <w:t>PARECER Nº 4/2021 do Conselho Fiscal e de Jurisdição (CFJ)</w:t>
      </w:r>
    </w:p>
    <w:p w:rsidR="0082225C" w:rsidRDefault="008222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PT"/>
        </w:rPr>
      </w:pPr>
    </w:p>
    <w:p w:rsidR="0082225C" w:rsidRDefault="00794C0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PT"/>
        </w:rPr>
      </w:pPr>
      <w:r w:rsidRPr="00794C04">
        <w:rPr>
          <w:rFonts w:ascii="Times New Roman" w:eastAsia="Times New Roman" w:hAnsi="Times New Roman" w:cs="Times New Roman"/>
          <w:b/>
          <w:color w:val="000000"/>
          <w:lang w:eastAsia="pt-PT"/>
        </w:rPr>
        <w:t>Assunto</w:t>
      </w:r>
      <w:r>
        <w:rPr>
          <w:rFonts w:ascii="Times New Roman" w:eastAsia="Times New Roman" w:hAnsi="Times New Roman" w:cs="Times New Roman"/>
          <w:color w:val="000000"/>
          <w:lang w:eastAsia="pt-PT"/>
        </w:rPr>
        <w:t xml:space="preserve">: Inscrição nas Assembleias Gerais de Delegação realizadas em formato híbrido </w:t>
      </w:r>
    </w:p>
    <w:p w:rsidR="0082225C" w:rsidRDefault="008222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PT"/>
        </w:rPr>
      </w:pPr>
    </w:p>
    <w:p w:rsidR="0082225C" w:rsidRDefault="00794C0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PT"/>
        </w:rPr>
      </w:pPr>
      <w:r>
        <w:rPr>
          <w:rFonts w:ascii="Times New Roman" w:eastAsia="Times New Roman" w:hAnsi="Times New Roman" w:cs="Times New Roman"/>
          <w:color w:val="000000"/>
          <w:lang w:eastAsia="pt-PT"/>
        </w:rPr>
        <w:t>I.   ENQUADRAMENTO NORMATIVO E OBJECTO DO PEDIDO</w:t>
      </w:r>
    </w:p>
    <w:p w:rsidR="0082225C" w:rsidRDefault="008222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PT"/>
        </w:rPr>
      </w:pPr>
    </w:p>
    <w:p w:rsidR="0082225C" w:rsidRDefault="00794C0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PT"/>
        </w:rPr>
      </w:pPr>
      <w:r>
        <w:rPr>
          <w:rFonts w:ascii="Times New Roman" w:eastAsia="Times New Roman" w:hAnsi="Times New Roman" w:cs="Times New Roman"/>
          <w:color w:val="000000"/>
          <w:lang w:eastAsia="pt-PT"/>
        </w:rPr>
        <w:t>1º - Por e</w:t>
      </w:r>
      <w:r>
        <w:rPr>
          <w:rFonts w:ascii="Times New Roman" w:eastAsia="Times New Roman" w:hAnsi="Times New Roman" w:cs="Times New Roman"/>
          <w:color w:val="000000"/>
          <w:lang w:eastAsia="pt-PT"/>
        </w:rPr>
        <w:t xml:space="preserve">-mail de 6 de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PT"/>
        </w:rPr>
        <w:t>Novembro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PT"/>
        </w:rPr>
        <w:t xml:space="preserve"> de 2021, veio um associado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PT"/>
        </w:rPr>
        <w:t>efectivo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PT"/>
        </w:rPr>
        <w:t>, no pleno gozo dos seus direitos associativos, solicitar ao CFJ a emissão de parecer sobre a exigibilidade de inscrição para efeitos da participação numa Assembleia Geral de Delegação rea</w:t>
      </w:r>
      <w:r>
        <w:rPr>
          <w:rFonts w:ascii="Times New Roman" w:eastAsia="Times New Roman" w:hAnsi="Times New Roman" w:cs="Times New Roman"/>
          <w:color w:val="000000"/>
          <w:lang w:eastAsia="pt-PT"/>
        </w:rPr>
        <w:t>lizada em formato híbrido, com a questão que de seguida se reproduz:</w:t>
      </w:r>
    </w:p>
    <w:p w:rsidR="0082225C" w:rsidRDefault="008222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PT"/>
        </w:rPr>
      </w:pPr>
    </w:p>
    <w:p w:rsidR="0082225C" w:rsidRDefault="00794C0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PT"/>
        </w:rPr>
      </w:pPr>
      <w:r>
        <w:rPr>
          <w:rFonts w:ascii="Times New Roman" w:eastAsia="Times New Roman" w:hAnsi="Times New Roman" w:cs="Times New Roman"/>
          <w:color w:val="000000"/>
          <w:lang w:eastAsia="pt-PT"/>
        </w:rPr>
        <w:t>“1. «Qual a legalidade da existência de uma inscrição prévia para uma Assembleia pública?</w:t>
      </w:r>
      <w:r>
        <w:rPr>
          <w:rFonts w:ascii="Times New Roman" w:eastAsia="Times New Roman" w:hAnsi="Times New Roman" w:cs="Times New Roman"/>
        </w:rPr>
        <w:t>»</w:t>
      </w:r>
    </w:p>
    <w:p w:rsidR="0082225C" w:rsidRDefault="008222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PT"/>
        </w:rPr>
      </w:pPr>
    </w:p>
    <w:p w:rsidR="0082225C" w:rsidRDefault="00794C0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PT"/>
        </w:rPr>
      </w:pPr>
      <w:r>
        <w:rPr>
          <w:rFonts w:ascii="Times New Roman" w:eastAsia="Times New Roman" w:hAnsi="Times New Roman" w:cs="Times New Roman"/>
          <w:color w:val="000000"/>
          <w:lang w:eastAsia="pt-PT"/>
        </w:rPr>
        <w:t>2º - O CFJ é competente para emitir, a solicitação de qualquer órgão ou dos seus Associados, p</w:t>
      </w:r>
      <w:r>
        <w:rPr>
          <w:rFonts w:ascii="Times New Roman" w:eastAsia="Times New Roman" w:hAnsi="Times New Roman" w:cs="Times New Roman"/>
          <w:color w:val="000000"/>
          <w:lang w:eastAsia="pt-PT"/>
        </w:rPr>
        <w:t xml:space="preserve">arecer sobre qualquer matéria de relevante interesse para a ACAPO (al. </w:t>
      </w:r>
      <w:r>
        <w:rPr>
          <w:rFonts w:ascii="Times New Roman" w:eastAsia="Times New Roman" w:hAnsi="Times New Roman" w:cs="Times New Roman"/>
          <w:i/>
          <w:iCs/>
          <w:color w:val="000000"/>
          <w:lang w:eastAsia="pt-PT"/>
        </w:rPr>
        <w:t>i)</w:t>
      </w:r>
      <w:r>
        <w:rPr>
          <w:rFonts w:ascii="Times New Roman" w:eastAsia="Times New Roman" w:hAnsi="Times New Roman" w:cs="Times New Roman"/>
          <w:color w:val="000000"/>
          <w:lang w:eastAsia="pt-PT"/>
        </w:rPr>
        <w:t xml:space="preserve"> do n.º 1 do Artigo 25.º dos Estatutos da ACAPO), sendo ainda sua a competência de emitir parecer sobre a interpretação de qualquer norma dos Estatutos ou dos regulamentos da ACAPO, b</w:t>
      </w:r>
      <w:r>
        <w:rPr>
          <w:rFonts w:ascii="Times New Roman" w:eastAsia="Times New Roman" w:hAnsi="Times New Roman" w:cs="Times New Roman"/>
          <w:color w:val="000000"/>
          <w:lang w:eastAsia="pt-PT"/>
        </w:rPr>
        <w:t>em como apreciar, do ponto de vista jurídico, todos os assuntos que lhe sejam presentes formalmente por outros órgãos associativos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PT"/>
        </w:rPr>
        <w:t>als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PT"/>
        </w:rPr>
        <w:t>. c) e d) do n.º 2 do artigo 36.º do Regulamento Geral da ACAPO).</w:t>
      </w:r>
    </w:p>
    <w:p w:rsidR="0082225C" w:rsidRDefault="00794C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t-PT"/>
        </w:rPr>
      </w:pPr>
      <w:r>
        <w:rPr>
          <w:rFonts w:ascii="Times New Roman" w:eastAsia="Times New Roman" w:hAnsi="Times New Roman" w:cs="Times New Roman"/>
          <w:color w:val="000000"/>
          <w:lang w:eastAsia="pt-PT"/>
        </w:rPr>
        <w:t>É, pois, sob a forma de parecer, e não de mero esclarec</w:t>
      </w:r>
      <w:r>
        <w:rPr>
          <w:rFonts w:ascii="Times New Roman" w:eastAsia="Times New Roman" w:hAnsi="Times New Roman" w:cs="Times New Roman"/>
          <w:color w:val="000000"/>
          <w:lang w:eastAsia="pt-PT"/>
        </w:rPr>
        <w:t>imento, que o CFJ se pronunciará.</w:t>
      </w:r>
    </w:p>
    <w:p w:rsidR="0082225C" w:rsidRDefault="008222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PT"/>
        </w:rPr>
      </w:pPr>
    </w:p>
    <w:p w:rsidR="0082225C" w:rsidRDefault="00794C0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PT"/>
        </w:rPr>
      </w:pPr>
      <w:r>
        <w:rPr>
          <w:rFonts w:ascii="Times New Roman" w:eastAsia="Times New Roman" w:hAnsi="Times New Roman" w:cs="Times New Roman"/>
          <w:color w:val="000000"/>
          <w:lang w:eastAsia="pt-PT"/>
        </w:rPr>
        <w:t xml:space="preserve">II. APRECIAÇÃO JURÍDICA </w:t>
      </w:r>
    </w:p>
    <w:p w:rsidR="0082225C" w:rsidRDefault="0082225C">
      <w:pPr>
        <w:spacing w:line="360" w:lineRule="auto"/>
        <w:jc w:val="both"/>
        <w:rPr>
          <w:rFonts w:ascii="Times New Roman" w:hAnsi="Times New Roman" w:cs="Times New Roman"/>
        </w:rPr>
      </w:pP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1º -</w:t>
      </w:r>
      <w:r>
        <w:rPr>
          <w:rFonts w:ascii="Times New Roman" w:hAnsi="Times New Roman" w:cs="Times New Roman"/>
        </w:rPr>
        <w:t xml:space="preserve"> Com a sua interpelação, o associado pergunta se a exigibilidade de inscrição numa AGD se configura legítima. Daqui se retira o cerne do problema jurídico subjacente ao caso em apreço: saber at</w:t>
      </w:r>
      <w:r>
        <w:rPr>
          <w:rFonts w:ascii="Times New Roman" w:hAnsi="Times New Roman" w:cs="Times New Roman"/>
        </w:rPr>
        <w:t xml:space="preserve">é que ponto as convocatórias emanadas das MAGD podem impor às senhoras e senhores associados o dever de inscrição prévia para efeitos da participação nas AGD.  </w:t>
      </w:r>
    </w:p>
    <w:p w:rsidR="0082225C" w:rsidRDefault="0082225C">
      <w:pPr>
        <w:spacing w:line="360" w:lineRule="auto"/>
        <w:jc w:val="both"/>
        <w:rPr>
          <w:rFonts w:ascii="Times New Roman" w:hAnsi="Times New Roman" w:cs="Times New Roman"/>
        </w:rPr>
      </w:pP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2.º -</w:t>
      </w:r>
      <w:r>
        <w:rPr>
          <w:rFonts w:ascii="Times New Roman" w:hAnsi="Times New Roman" w:cs="Times New Roman"/>
        </w:rPr>
        <w:t xml:space="preserve"> Importa, antes de mais, recordar que a participação nas AGD não está, via de regra, condi</w:t>
      </w:r>
      <w:r>
        <w:rPr>
          <w:rFonts w:ascii="Times New Roman" w:hAnsi="Times New Roman" w:cs="Times New Roman"/>
        </w:rPr>
        <w:t>cionada a uma inscrição prévia por parte das senhoras e senhores associados. E faz todo o sentido que assim seja. Na realidade, a existência de um dever procedimental dessa natureza revelar-se-ia pouco compaginável com os pressupostos do associativismo, on</w:t>
      </w:r>
      <w:r>
        <w:rPr>
          <w:rFonts w:ascii="Times New Roman" w:hAnsi="Times New Roman" w:cs="Times New Roman"/>
        </w:rPr>
        <w:t xml:space="preserve">de a vontade das senhoras e senhores associados afigura-se soberana. É aliás neste horizonte compreensivo que se deve </w:t>
      </w:r>
      <w:proofErr w:type="spellStart"/>
      <w:r>
        <w:rPr>
          <w:rFonts w:ascii="Times New Roman" w:hAnsi="Times New Roman" w:cs="Times New Roman"/>
        </w:rPr>
        <w:t>perspectivar</w:t>
      </w:r>
      <w:proofErr w:type="spellEnd"/>
      <w:r>
        <w:rPr>
          <w:rFonts w:ascii="Times New Roman" w:hAnsi="Times New Roman" w:cs="Times New Roman"/>
        </w:rPr>
        <w:t xml:space="preserve"> o estatuído no n.º 1 do artigo 27º dos Estatutos da ACAPO, nos termos do qual as AGD «são os órgãos máximos das Delegações e </w:t>
      </w:r>
      <w:r>
        <w:rPr>
          <w:rFonts w:ascii="Times New Roman" w:hAnsi="Times New Roman" w:cs="Times New Roman"/>
        </w:rPr>
        <w:t>são constituídas pelos associados nelas inscritos e que se encontrem no pleno gozo dos seus direitos».</w:t>
      </w:r>
    </w:p>
    <w:p w:rsidR="0082225C" w:rsidRDefault="0082225C">
      <w:pPr>
        <w:spacing w:line="360" w:lineRule="auto"/>
        <w:jc w:val="both"/>
        <w:rPr>
          <w:rFonts w:ascii="Times New Roman" w:hAnsi="Times New Roman" w:cs="Times New Roman"/>
        </w:rPr>
      </w:pP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3.º Tal como defendido noutras ocasiões, o CFJ perfilha o entendimento de que a participação na vida associativa deve ser amplamente promovida, evitando</w:t>
      </w:r>
      <w:r>
        <w:rPr>
          <w:rFonts w:ascii="Times New Roman" w:hAnsi="Times New Roman" w:cs="Times New Roman"/>
        </w:rPr>
        <w:t xml:space="preserve">-se a </w:t>
      </w:r>
      <w:proofErr w:type="spellStart"/>
      <w:r>
        <w:rPr>
          <w:rFonts w:ascii="Times New Roman" w:hAnsi="Times New Roman" w:cs="Times New Roman"/>
        </w:rPr>
        <w:t>adopção</w:t>
      </w:r>
      <w:proofErr w:type="spellEnd"/>
      <w:r>
        <w:rPr>
          <w:rFonts w:ascii="Times New Roman" w:hAnsi="Times New Roman" w:cs="Times New Roman"/>
        </w:rPr>
        <w:t xml:space="preserve"> de mecanismos inviabilizadores dos direitos das senhoras e senhores associados. Dizer isto não significa, porém, que o exercício desses direitos não possa estar sujeito ao cumprimento de determinadas regras. Um exemplo bem expressivo no conte</w:t>
      </w:r>
      <w:r>
        <w:rPr>
          <w:rFonts w:ascii="Times New Roman" w:hAnsi="Times New Roman" w:cs="Times New Roman"/>
        </w:rPr>
        <w:t xml:space="preserve">xto das AGD prende-se com o dever que recai sobre as senhoras e senhores associados de pagamento das quotas para que naquelas possam participar e intervir (cf. alínea a) do nº 1 do artigo 7º dos Estatutos da ACAPO, conjugada com o nº 3 e com a alínea b do </w:t>
      </w:r>
      <w:r>
        <w:rPr>
          <w:rFonts w:ascii="Times New Roman" w:hAnsi="Times New Roman" w:cs="Times New Roman"/>
        </w:rPr>
        <w:t xml:space="preserve">artigo 7º do Regulamento Geral da ACAPO). </w:t>
      </w:r>
    </w:p>
    <w:p w:rsidR="0082225C" w:rsidRDefault="0082225C">
      <w:pPr>
        <w:spacing w:line="360" w:lineRule="auto"/>
        <w:jc w:val="both"/>
        <w:rPr>
          <w:rFonts w:ascii="Times New Roman" w:hAnsi="Times New Roman" w:cs="Times New Roman"/>
        </w:rPr>
      </w:pP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4.º -</w:t>
      </w:r>
      <w:r>
        <w:rPr>
          <w:rFonts w:ascii="Times New Roman" w:hAnsi="Times New Roman" w:cs="Times New Roman"/>
        </w:rPr>
        <w:t>Do contexto pandémico em que ainda vivemos resultou não só a compressão de direitos fundamentais basilares, como convocou também uma panóplia de ajustamentos capazes de mitigar as condicionantes inerentes à s</w:t>
      </w:r>
      <w:r>
        <w:rPr>
          <w:rFonts w:ascii="Times New Roman" w:hAnsi="Times New Roman" w:cs="Times New Roman"/>
        </w:rPr>
        <w:t>ituação sanitária. Uma delas radicou precisamente na realização das AGD por meios telemáticos.</w:t>
      </w:r>
    </w:p>
    <w:p w:rsidR="0082225C" w:rsidRDefault="0082225C">
      <w:pPr>
        <w:spacing w:line="360" w:lineRule="auto"/>
        <w:jc w:val="both"/>
        <w:rPr>
          <w:rFonts w:ascii="Times New Roman" w:hAnsi="Times New Roman" w:cs="Times New Roman"/>
        </w:rPr>
      </w:pP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5.º-</w:t>
      </w:r>
      <w:r>
        <w:rPr>
          <w:rFonts w:ascii="Times New Roman" w:hAnsi="Times New Roman" w:cs="Times New Roman"/>
        </w:rPr>
        <w:t xml:space="preserve">Com o relaxamento das restrições impostas pela pandemia, várias delegações optaram por retomar gradualmente algumas das suas </w:t>
      </w:r>
      <w:proofErr w:type="spellStart"/>
      <w:r>
        <w:rPr>
          <w:rFonts w:ascii="Times New Roman" w:hAnsi="Times New Roman" w:cs="Times New Roman"/>
        </w:rPr>
        <w:t>actividades</w:t>
      </w:r>
      <w:proofErr w:type="spellEnd"/>
      <w:r>
        <w:rPr>
          <w:rFonts w:ascii="Times New Roman" w:hAnsi="Times New Roman" w:cs="Times New Roman"/>
        </w:rPr>
        <w:t xml:space="preserve"> presenciais, designadamente as AGD ordinárias, que decorreram nos meses de </w:t>
      </w:r>
      <w:proofErr w:type="gramStart"/>
      <w:r>
        <w:rPr>
          <w:rFonts w:ascii="Times New Roman" w:hAnsi="Times New Roman" w:cs="Times New Roman"/>
        </w:rPr>
        <w:t>Outubro</w:t>
      </w:r>
      <w:proofErr w:type="gramEnd"/>
      <w:r>
        <w:rPr>
          <w:rFonts w:ascii="Times New Roman" w:hAnsi="Times New Roman" w:cs="Times New Roman"/>
        </w:rPr>
        <w:t xml:space="preserve"> e Novembro de 2021, em regime remoto, presencial ou misto. A cada um destes modelos corresponde uma dimensão logística específica. A lotação de uma AGD presencial pode, por</w:t>
      </w:r>
      <w:r>
        <w:rPr>
          <w:rFonts w:ascii="Times New Roman" w:hAnsi="Times New Roman" w:cs="Times New Roman"/>
        </w:rPr>
        <w:t xml:space="preserve"> motivos sanitários, estar limitada a um número mais reduzido de participantes, reclamando por isso uma inscrição prévia por parte das senhoras e senhores associados. Por seu turno, uma AGD híbrida depende de recursos técnicos capazes de assegurar o seu fu</w:t>
      </w:r>
      <w:r>
        <w:rPr>
          <w:rFonts w:ascii="Times New Roman" w:hAnsi="Times New Roman" w:cs="Times New Roman"/>
        </w:rPr>
        <w:t xml:space="preserve">ncionamento </w:t>
      </w:r>
      <w:proofErr w:type="spellStart"/>
      <w:r>
        <w:rPr>
          <w:rFonts w:ascii="Times New Roman" w:hAnsi="Times New Roman" w:cs="Times New Roman"/>
        </w:rPr>
        <w:t>efectivo</w:t>
      </w:r>
      <w:proofErr w:type="spellEnd"/>
      <w:r>
        <w:rPr>
          <w:rFonts w:ascii="Times New Roman" w:hAnsi="Times New Roman" w:cs="Times New Roman"/>
        </w:rPr>
        <w:t xml:space="preserve">, designadamente a instalação de computadores, colunas e microfones que permitam às </w:t>
      </w:r>
      <w:r>
        <w:rPr>
          <w:rFonts w:ascii="Times New Roman" w:hAnsi="Times New Roman" w:cs="Times New Roman"/>
        </w:rPr>
        <w:lastRenderedPageBreak/>
        <w:t>senhoras e senhores associados presentes na delegação ouvirem os seus pares que estejam a intervir de forma remota, e vice-versa. Ora, também aqui se co</w:t>
      </w:r>
      <w:r>
        <w:rPr>
          <w:rFonts w:ascii="Times New Roman" w:hAnsi="Times New Roman" w:cs="Times New Roman"/>
        </w:rPr>
        <w:t>mpreende a necessidade de haver uma inscrição prévia por parte das senhoras e senhores associados. Imaginemos ter de se adquirir e instalar os meios telemáticos referenciados numa AGD em que nenhum associado ou associada pretenda participar remotamente. Fa</w:t>
      </w:r>
      <w:r>
        <w:rPr>
          <w:rFonts w:ascii="Times New Roman" w:hAnsi="Times New Roman" w:cs="Times New Roman"/>
        </w:rPr>
        <w:t xml:space="preserve">rá sentido lançar-se mão de recursos logísticos e financeiros que não virão a ser, afinal, utilizados? Salvo melhor opinião, o CFJ considera que não. </w:t>
      </w:r>
    </w:p>
    <w:p w:rsidR="0082225C" w:rsidRDefault="0082225C">
      <w:pPr>
        <w:spacing w:line="360" w:lineRule="auto"/>
        <w:jc w:val="both"/>
        <w:rPr>
          <w:rFonts w:ascii="Times New Roman" w:hAnsi="Times New Roman" w:cs="Times New Roman"/>
        </w:rPr>
      </w:pP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Conclusão</w:t>
      </w:r>
    </w:p>
    <w:p w:rsidR="0082225C" w:rsidRDefault="0082225C">
      <w:pPr>
        <w:spacing w:line="360" w:lineRule="auto"/>
        <w:jc w:val="both"/>
        <w:rPr>
          <w:rFonts w:ascii="Times New Roman" w:hAnsi="Times New Roman" w:cs="Times New Roman"/>
        </w:rPr>
      </w:pP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 o exposto, o CFJ conclui que uma AGD realizada em formato misto pode, por razões logí</w:t>
      </w:r>
      <w:r>
        <w:rPr>
          <w:rFonts w:ascii="Times New Roman" w:hAnsi="Times New Roman" w:cs="Times New Roman"/>
        </w:rPr>
        <w:t>sticas, e considerando o particular contexto, requerer uma inscrição prévia por parte das senhoras e senhores associados que nela pretendam participar remotamente, não constituindo essa regra uma violação ao direito de participação.</w:t>
      </w:r>
    </w:p>
    <w:p w:rsidR="0082225C" w:rsidRDefault="0082225C">
      <w:pPr>
        <w:spacing w:line="360" w:lineRule="auto"/>
        <w:jc w:val="both"/>
        <w:rPr>
          <w:rFonts w:ascii="Times New Roman" w:hAnsi="Times New Roman" w:cs="Times New Roman"/>
        </w:rPr>
      </w:pP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Lisboa, 19 de Novembro</w:t>
      </w:r>
      <w:r>
        <w:rPr>
          <w:rFonts w:ascii="Times New Roman" w:hAnsi="Times New Roman" w:cs="Times New Roman"/>
        </w:rPr>
        <w:t xml:space="preserve"> de 2021</w:t>
      </w:r>
    </w:p>
    <w:p w:rsidR="0082225C" w:rsidRDefault="0082225C">
      <w:pPr>
        <w:spacing w:line="360" w:lineRule="auto"/>
        <w:jc w:val="both"/>
        <w:rPr>
          <w:rFonts w:ascii="Times New Roman" w:hAnsi="Times New Roman" w:cs="Times New Roman"/>
        </w:rPr>
      </w:pP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Conselho Fiscal e de Jurisdição</w:t>
      </w: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Pedro Oliveira</w:t>
      </w: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</w:t>
      </w:r>
    </w:p>
    <w:p w:rsidR="0082225C" w:rsidRDefault="0082225C">
      <w:pPr>
        <w:spacing w:line="360" w:lineRule="auto"/>
        <w:jc w:val="both"/>
        <w:rPr>
          <w:rFonts w:ascii="Times New Roman" w:hAnsi="Times New Roman" w:cs="Times New Roman"/>
        </w:rPr>
      </w:pP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Duarte Sousa</w:t>
      </w: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Vice-presidente</w:t>
      </w:r>
    </w:p>
    <w:p w:rsidR="0082225C" w:rsidRDefault="0082225C">
      <w:pPr>
        <w:spacing w:line="360" w:lineRule="auto"/>
        <w:jc w:val="both"/>
        <w:rPr>
          <w:rFonts w:ascii="Times New Roman" w:hAnsi="Times New Roman" w:cs="Times New Roman"/>
        </w:rPr>
      </w:pP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Silva</w:t>
      </w: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Secretária</w:t>
      </w:r>
    </w:p>
    <w:p w:rsidR="0082225C" w:rsidRDefault="0082225C">
      <w:pPr>
        <w:spacing w:line="360" w:lineRule="auto"/>
        <w:jc w:val="both"/>
        <w:rPr>
          <w:rFonts w:ascii="Times New Roman" w:hAnsi="Times New Roman" w:cs="Times New Roman"/>
        </w:rPr>
      </w:pP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Carlos Gaspar</w:t>
      </w: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:rsidR="00794C04" w:rsidRDefault="00794C04">
      <w:pPr>
        <w:spacing w:line="360" w:lineRule="auto"/>
        <w:jc w:val="both"/>
        <w:rPr>
          <w:rFonts w:ascii="Times New Roman" w:hAnsi="Times New Roman" w:cs="Times New Roman"/>
        </w:rPr>
      </w:pP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Tiago Silva</w:t>
      </w:r>
    </w:p>
    <w:p w:rsidR="0082225C" w:rsidRDefault="00794C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sectPr w:rsidR="00822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5C"/>
    <w:rsid w:val="00794C04"/>
    <w:rsid w:val="0082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FED6"/>
  <w15:chartTrackingRefBased/>
  <w15:docId w15:val="{649C2133-0265-4838-B6C9-29B1B463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2013179617</dc:creator>
  <cp:keywords/>
  <dc:description/>
  <cp:lastModifiedBy>Susana Venâncio</cp:lastModifiedBy>
  <cp:revision>2</cp:revision>
  <dcterms:created xsi:type="dcterms:W3CDTF">2021-11-23T14:29:00Z</dcterms:created>
  <dcterms:modified xsi:type="dcterms:W3CDTF">2021-11-23T14:29:00Z</dcterms:modified>
</cp:coreProperties>
</file>